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FA213" w14:textId="5E4860AE" w:rsidR="00094E16" w:rsidRPr="00AF78E2" w:rsidRDefault="00AF78E2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AF78E2">
        <w:rPr>
          <w:rFonts w:ascii="Arial" w:hAnsi="Arial" w:cs="Arial"/>
          <w:b/>
          <w:bCs/>
          <w:sz w:val="24"/>
          <w:szCs w:val="24"/>
        </w:rPr>
        <w:t>Brynrhos</w:t>
      </w:r>
      <w:proofErr w:type="spellEnd"/>
      <w:r w:rsidRPr="00AF78E2">
        <w:rPr>
          <w:rFonts w:ascii="Arial" w:hAnsi="Arial" w:cs="Arial"/>
          <w:b/>
          <w:bCs/>
          <w:sz w:val="24"/>
          <w:szCs w:val="24"/>
        </w:rPr>
        <w:t xml:space="preserve"> Crescent Access</w:t>
      </w:r>
    </w:p>
    <w:p w14:paraId="34780069" w14:textId="77777777" w:rsidR="00D90DA9" w:rsidRDefault="00D90DA9">
      <w:pPr>
        <w:rPr>
          <w:rFonts w:ascii="Arial" w:hAnsi="Arial" w:cs="Arial"/>
          <w:sz w:val="24"/>
          <w:szCs w:val="24"/>
        </w:rPr>
      </w:pPr>
    </w:p>
    <w:p w14:paraId="277ADCE0" w14:textId="133D5F26" w:rsidR="00AF78E2" w:rsidRDefault="00AF78E2">
      <w:pPr>
        <w:rPr>
          <w:rFonts w:ascii="Arial" w:hAnsi="Arial" w:cs="Arial"/>
          <w:sz w:val="24"/>
          <w:szCs w:val="24"/>
        </w:rPr>
      </w:pPr>
      <w:r w:rsidRPr="00AF78E2">
        <w:rPr>
          <w:rFonts w:ascii="Arial" w:hAnsi="Arial" w:cs="Arial"/>
          <w:b/>
          <w:bCs/>
          <w:sz w:val="24"/>
          <w:szCs w:val="24"/>
        </w:rPr>
        <w:t xml:space="preserve">Principal points of objection </w:t>
      </w:r>
      <w:r>
        <w:rPr>
          <w:rFonts w:ascii="Arial" w:hAnsi="Arial" w:cs="Arial"/>
          <w:sz w:val="24"/>
          <w:szCs w:val="24"/>
        </w:rPr>
        <w:t>.</w:t>
      </w:r>
      <w:r w:rsidR="00B9604F">
        <w:rPr>
          <w:rFonts w:ascii="Arial" w:hAnsi="Arial" w:cs="Arial"/>
          <w:sz w:val="24"/>
          <w:szCs w:val="24"/>
        </w:rPr>
        <w:t xml:space="preserve"> ( Other than those concerns already raised by the public over safety concerns and the like )</w:t>
      </w:r>
    </w:p>
    <w:p w14:paraId="2A95D776" w14:textId="77777777" w:rsidR="00B9604F" w:rsidRDefault="00B9604F">
      <w:pPr>
        <w:rPr>
          <w:rFonts w:ascii="Arial" w:hAnsi="Arial" w:cs="Arial"/>
          <w:sz w:val="24"/>
          <w:szCs w:val="24"/>
        </w:rPr>
      </w:pPr>
    </w:p>
    <w:p w14:paraId="12870E0D" w14:textId="47FF941C" w:rsidR="00AF78E2" w:rsidRDefault="00B9604F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G</w:t>
      </w:r>
      <w:r w:rsidR="003A3826" w:rsidRPr="00BB3AAA">
        <w:rPr>
          <w:rFonts w:ascii="Arial" w:hAnsi="Arial" w:cs="Arial"/>
          <w:iCs/>
          <w:sz w:val="24"/>
          <w:szCs w:val="24"/>
        </w:rPr>
        <w:t>rounds</w:t>
      </w:r>
      <w:r w:rsidR="003A3826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3A3826" w:rsidRPr="00BB3AAA">
        <w:rPr>
          <w:rFonts w:ascii="Arial" w:hAnsi="Arial" w:cs="Arial"/>
          <w:iCs/>
          <w:sz w:val="24"/>
          <w:szCs w:val="24"/>
        </w:rPr>
        <w:t xml:space="preserve">for objection are </w:t>
      </w:r>
      <w:r w:rsidR="003A3826">
        <w:rPr>
          <w:rFonts w:ascii="Arial" w:hAnsi="Arial" w:cs="Arial"/>
          <w:iCs/>
          <w:sz w:val="24"/>
          <w:szCs w:val="24"/>
        </w:rPr>
        <w:t xml:space="preserve">now </w:t>
      </w:r>
      <w:r w:rsidR="003A3826" w:rsidRPr="00BB3AAA">
        <w:rPr>
          <w:rFonts w:ascii="Arial" w:hAnsi="Arial" w:cs="Arial"/>
          <w:iCs/>
          <w:sz w:val="24"/>
          <w:szCs w:val="24"/>
        </w:rPr>
        <w:t xml:space="preserve">further reinforced </w:t>
      </w:r>
      <w:r w:rsidR="003A3826">
        <w:rPr>
          <w:rFonts w:ascii="Arial" w:hAnsi="Arial" w:cs="Arial"/>
          <w:iCs/>
          <w:sz w:val="24"/>
          <w:szCs w:val="24"/>
        </w:rPr>
        <w:t xml:space="preserve">by the failure of this proposal to comply with </w:t>
      </w:r>
      <w:r w:rsidR="003A3826" w:rsidRPr="009B3C49">
        <w:rPr>
          <w:rFonts w:ascii="Arial" w:hAnsi="Arial" w:cs="Arial"/>
          <w:b/>
          <w:bCs/>
          <w:iCs/>
          <w:sz w:val="24"/>
          <w:szCs w:val="24"/>
        </w:rPr>
        <w:t>Policy T5  vi</w:t>
      </w:r>
      <w:r w:rsidR="003A3826">
        <w:rPr>
          <w:rFonts w:ascii="Arial" w:hAnsi="Arial" w:cs="Arial"/>
          <w:iCs/>
          <w:sz w:val="24"/>
          <w:szCs w:val="24"/>
        </w:rPr>
        <w:t xml:space="preserve"> of the Council’s adopted Local Development Plan, which states :</w:t>
      </w:r>
    </w:p>
    <w:p w14:paraId="32E1DB67" w14:textId="77777777" w:rsidR="00B835EB" w:rsidRDefault="00B835EB">
      <w:pPr>
        <w:rPr>
          <w:rFonts w:ascii="Arial" w:hAnsi="Arial" w:cs="Arial"/>
          <w:sz w:val="24"/>
          <w:szCs w:val="24"/>
        </w:rPr>
      </w:pPr>
    </w:p>
    <w:p w14:paraId="20566D7B" w14:textId="77777777" w:rsidR="00AF78E2" w:rsidRPr="00786D1F" w:rsidRDefault="00AF78E2" w:rsidP="00B835EB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786D1F">
        <w:rPr>
          <w:rFonts w:ascii="Arial" w:hAnsi="Arial" w:cs="Arial"/>
          <w:i/>
          <w:sz w:val="24"/>
          <w:szCs w:val="24"/>
        </w:rPr>
        <w:t>All proposals must ensure that the design of development, together with any supporting transport measures and infrastructure :</w:t>
      </w:r>
    </w:p>
    <w:p w14:paraId="2EB2C8DF" w14:textId="17E393EC" w:rsidR="00AF78E2" w:rsidRDefault="00AF78E2" w:rsidP="00B835EB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786D1F">
        <w:rPr>
          <w:rFonts w:ascii="Arial" w:hAnsi="Arial" w:cs="Arial"/>
          <w:i/>
          <w:sz w:val="24"/>
          <w:szCs w:val="24"/>
        </w:rPr>
        <w:t xml:space="preserve">vi   </w:t>
      </w:r>
      <w:r w:rsidRPr="009B3C49">
        <w:rPr>
          <w:rFonts w:ascii="Arial" w:hAnsi="Arial" w:cs="Arial"/>
          <w:b/>
          <w:bCs/>
          <w:i/>
          <w:sz w:val="24"/>
          <w:szCs w:val="24"/>
        </w:rPr>
        <w:t>Does not encourage extraneous traffic</w:t>
      </w:r>
      <w:r w:rsidRPr="00786D1F">
        <w:rPr>
          <w:rFonts w:ascii="Arial" w:hAnsi="Arial" w:cs="Arial"/>
          <w:i/>
          <w:sz w:val="24"/>
          <w:szCs w:val="24"/>
        </w:rPr>
        <w:t xml:space="preserve"> , unless there is a specific strategic need for access route through the area .  </w:t>
      </w:r>
    </w:p>
    <w:p w14:paraId="10AE8BFF" w14:textId="7AB47A2F" w:rsidR="00D90DA9" w:rsidRDefault="00D90DA9" w:rsidP="00B835EB">
      <w:pPr>
        <w:spacing w:line="240" w:lineRule="auto"/>
        <w:rPr>
          <w:rFonts w:ascii="Arial" w:hAnsi="Arial" w:cs="Arial"/>
          <w:iCs/>
          <w:sz w:val="24"/>
          <w:szCs w:val="24"/>
        </w:rPr>
      </w:pPr>
    </w:p>
    <w:p w14:paraId="78C04632" w14:textId="1F69204D" w:rsidR="00D90DA9" w:rsidRPr="00D90DA9" w:rsidRDefault="00D90DA9" w:rsidP="00B835EB">
      <w:pPr>
        <w:spacing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The extraneous traffic is inevitable, not because of any identified strategic need to relieve congestion on J47 of the M4 motorway , but simply the need to access the site .</w:t>
      </w:r>
    </w:p>
    <w:p w14:paraId="7E8178AE" w14:textId="77777777" w:rsidR="00B835EB" w:rsidRDefault="00B835EB" w:rsidP="00B835EB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14:paraId="65B226C2" w14:textId="3E0BD4C6" w:rsidR="003A3826" w:rsidRDefault="003A3826" w:rsidP="00AF78E2">
      <w:pPr>
        <w:spacing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The planning report argues that the access was identified on the Masterplan drawing appended to the </w:t>
      </w:r>
      <w:proofErr w:type="spellStart"/>
      <w:r>
        <w:rPr>
          <w:rFonts w:ascii="Arial" w:hAnsi="Arial" w:cs="Arial"/>
          <w:iCs/>
          <w:sz w:val="24"/>
          <w:szCs w:val="24"/>
        </w:rPr>
        <w:t>SoCG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. </w:t>
      </w:r>
      <w:r w:rsidR="00B835EB">
        <w:rPr>
          <w:rFonts w:ascii="Arial" w:hAnsi="Arial" w:cs="Arial"/>
          <w:iCs/>
          <w:sz w:val="24"/>
          <w:szCs w:val="24"/>
        </w:rPr>
        <w:t>( Statement of Common Ground )</w:t>
      </w:r>
    </w:p>
    <w:p w14:paraId="7F9A34A7" w14:textId="29F23F6C" w:rsidR="003A3826" w:rsidRPr="00B9604F" w:rsidRDefault="003A3826" w:rsidP="00AF78E2">
      <w:pPr>
        <w:spacing w:line="360" w:lineRule="auto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This argument is pathetic . </w:t>
      </w:r>
    </w:p>
    <w:p w14:paraId="17956327" w14:textId="00AB06C3" w:rsidR="003A3826" w:rsidRDefault="003A3826" w:rsidP="00AF78E2">
      <w:pPr>
        <w:spacing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The reduced A4 drawing from its AO original form is illegible, and was never discussed for the purposes of access to the site .</w:t>
      </w:r>
      <w:r w:rsidR="00B835EB" w:rsidRPr="00B835EB">
        <w:rPr>
          <w:rFonts w:ascii="Arial" w:hAnsi="Arial" w:cs="Arial"/>
          <w:iCs/>
          <w:sz w:val="24"/>
          <w:szCs w:val="24"/>
        </w:rPr>
        <w:t xml:space="preserve"> </w:t>
      </w:r>
      <w:r w:rsidR="00B835EB">
        <w:rPr>
          <w:rFonts w:ascii="Arial" w:hAnsi="Arial" w:cs="Arial"/>
          <w:iCs/>
          <w:sz w:val="24"/>
          <w:szCs w:val="24"/>
        </w:rPr>
        <w:t>( Drawing attached )</w:t>
      </w:r>
    </w:p>
    <w:p w14:paraId="22C1D510" w14:textId="77777777" w:rsidR="00840CA8" w:rsidRDefault="003A3826" w:rsidP="00AF78E2">
      <w:pPr>
        <w:spacing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As for what the </w:t>
      </w:r>
      <w:proofErr w:type="spellStart"/>
      <w:r>
        <w:rPr>
          <w:rFonts w:ascii="Arial" w:hAnsi="Arial" w:cs="Arial"/>
          <w:iCs/>
          <w:sz w:val="24"/>
          <w:szCs w:val="24"/>
        </w:rPr>
        <w:t>SoCG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did say </w:t>
      </w:r>
      <w:r w:rsidR="00965416">
        <w:rPr>
          <w:rFonts w:ascii="Arial" w:hAnsi="Arial" w:cs="Arial"/>
          <w:iCs/>
          <w:sz w:val="24"/>
          <w:szCs w:val="24"/>
        </w:rPr>
        <w:t>:</w:t>
      </w:r>
      <w:r w:rsidR="00840CA8" w:rsidRPr="00840CA8">
        <w:rPr>
          <w:rFonts w:ascii="Arial" w:hAnsi="Arial" w:cs="Arial"/>
          <w:iCs/>
          <w:sz w:val="24"/>
          <w:szCs w:val="24"/>
        </w:rPr>
        <w:t xml:space="preserve"> </w:t>
      </w:r>
    </w:p>
    <w:p w14:paraId="473BBCBA" w14:textId="28D93044" w:rsidR="00965416" w:rsidRPr="00840CA8" w:rsidRDefault="00840CA8" w:rsidP="00AF78E2">
      <w:pPr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Para 2.14 ….. </w:t>
      </w:r>
      <w:r w:rsidRPr="00840CA8">
        <w:rPr>
          <w:rFonts w:ascii="Arial" w:hAnsi="Arial" w:cs="Arial"/>
          <w:i/>
          <w:sz w:val="24"/>
          <w:szCs w:val="24"/>
        </w:rPr>
        <w:t xml:space="preserve">pre-application discussions included matters relating to the </w:t>
      </w:r>
      <w:r w:rsidRPr="00840CA8">
        <w:rPr>
          <w:rFonts w:ascii="Arial" w:hAnsi="Arial" w:cs="Arial"/>
          <w:i/>
          <w:sz w:val="24"/>
          <w:szCs w:val="24"/>
          <w:highlight w:val="yellow"/>
        </w:rPr>
        <w:t>preferred</w:t>
      </w:r>
      <w:r w:rsidRPr="00840CA8">
        <w:rPr>
          <w:rFonts w:ascii="Arial" w:hAnsi="Arial" w:cs="Arial"/>
          <w:i/>
          <w:sz w:val="24"/>
          <w:szCs w:val="24"/>
        </w:rPr>
        <w:t xml:space="preserve"> </w:t>
      </w:r>
      <w:r w:rsidRPr="00840CA8">
        <w:rPr>
          <w:rFonts w:ascii="Arial" w:hAnsi="Arial" w:cs="Arial"/>
          <w:i/>
          <w:sz w:val="24"/>
          <w:szCs w:val="24"/>
          <w:highlight w:val="yellow"/>
        </w:rPr>
        <w:t xml:space="preserve">means of access to the scheme from </w:t>
      </w:r>
      <w:proofErr w:type="spellStart"/>
      <w:r w:rsidRPr="00840CA8">
        <w:rPr>
          <w:rFonts w:ascii="Arial" w:hAnsi="Arial" w:cs="Arial"/>
          <w:i/>
          <w:sz w:val="24"/>
          <w:szCs w:val="24"/>
          <w:highlight w:val="yellow"/>
        </w:rPr>
        <w:t>Gorseinon</w:t>
      </w:r>
      <w:proofErr w:type="spellEnd"/>
      <w:r w:rsidRPr="00840CA8">
        <w:rPr>
          <w:rFonts w:ascii="Arial" w:hAnsi="Arial" w:cs="Arial"/>
          <w:i/>
          <w:sz w:val="24"/>
          <w:szCs w:val="24"/>
          <w:highlight w:val="yellow"/>
        </w:rPr>
        <w:t xml:space="preserve"> Road</w:t>
      </w:r>
      <w:r w:rsidRPr="00840CA8">
        <w:rPr>
          <w:rFonts w:ascii="Arial" w:hAnsi="Arial" w:cs="Arial"/>
          <w:i/>
          <w:sz w:val="24"/>
          <w:szCs w:val="24"/>
        </w:rPr>
        <w:t>, which has now been resolved by Bellway acquiring an interest in the land concerned</w:t>
      </w:r>
    </w:p>
    <w:p w14:paraId="43AB5A02" w14:textId="48BCDBD6" w:rsidR="003A3826" w:rsidRPr="00840CA8" w:rsidRDefault="00965416" w:rsidP="00965416">
      <w:pPr>
        <w:spacing w:line="360" w:lineRule="auto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Para 2.19  …..</w:t>
      </w:r>
      <w:r w:rsidRPr="00965416">
        <w:t xml:space="preserve"> </w:t>
      </w:r>
      <w:r w:rsidRPr="00965416">
        <w:rPr>
          <w:rFonts w:ascii="Arial" w:hAnsi="Arial" w:cs="Arial"/>
          <w:i/>
          <w:sz w:val="24"/>
          <w:szCs w:val="24"/>
        </w:rPr>
        <w:t xml:space="preserve">31 </w:t>
      </w:r>
      <w:proofErr w:type="spellStart"/>
      <w:r w:rsidRPr="00965416">
        <w:rPr>
          <w:rFonts w:ascii="Arial" w:hAnsi="Arial" w:cs="Arial"/>
          <w:i/>
          <w:sz w:val="24"/>
          <w:szCs w:val="24"/>
        </w:rPr>
        <w:t>Gorseinon</w:t>
      </w:r>
      <w:proofErr w:type="spellEnd"/>
      <w:r w:rsidRPr="00965416">
        <w:rPr>
          <w:rFonts w:ascii="Arial" w:hAnsi="Arial" w:cs="Arial"/>
          <w:i/>
          <w:sz w:val="24"/>
          <w:szCs w:val="24"/>
        </w:rPr>
        <w:t xml:space="preserve"> Road, which is under the ownership of Bellway Homes and will be demolished in order to provide the main vehicular access to the site </w:t>
      </w:r>
      <w:r w:rsidRPr="00061B37">
        <w:rPr>
          <w:rFonts w:ascii="Arial" w:hAnsi="Arial" w:cs="Arial"/>
          <w:i/>
          <w:sz w:val="24"/>
          <w:szCs w:val="24"/>
          <w:highlight w:val="yellow"/>
        </w:rPr>
        <w:t>from</w:t>
      </w:r>
      <w:r w:rsidRPr="00965416">
        <w:rPr>
          <w:rFonts w:ascii="Arial" w:hAnsi="Arial" w:cs="Arial"/>
          <w:i/>
          <w:sz w:val="24"/>
          <w:szCs w:val="24"/>
        </w:rPr>
        <w:t xml:space="preserve"> </w:t>
      </w:r>
      <w:r w:rsidRPr="00061B37">
        <w:rPr>
          <w:rFonts w:ascii="Arial" w:hAnsi="Arial" w:cs="Arial"/>
          <w:i/>
          <w:sz w:val="24"/>
          <w:szCs w:val="24"/>
          <w:highlight w:val="yellow"/>
        </w:rPr>
        <w:t>the north.</w:t>
      </w:r>
      <w:r w:rsidRPr="00965416">
        <w:rPr>
          <w:rFonts w:ascii="Arial" w:hAnsi="Arial" w:cs="Arial"/>
          <w:i/>
          <w:sz w:val="24"/>
          <w:szCs w:val="24"/>
        </w:rPr>
        <w:t xml:space="preserve"> </w:t>
      </w:r>
      <w:r w:rsidR="00840CA8">
        <w:rPr>
          <w:rFonts w:ascii="Arial" w:hAnsi="Arial" w:cs="Arial"/>
          <w:i/>
          <w:sz w:val="24"/>
          <w:szCs w:val="24"/>
        </w:rPr>
        <w:t xml:space="preserve"> </w:t>
      </w:r>
      <w:r w:rsidR="00840CA8" w:rsidRPr="00840CA8">
        <w:rPr>
          <w:rFonts w:ascii="Arial" w:hAnsi="Arial" w:cs="Arial"/>
          <w:b/>
          <w:bCs/>
          <w:iCs/>
          <w:sz w:val="24"/>
          <w:szCs w:val="24"/>
        </w:rPr>
        <w:t xml:space="preserve">( Land Registry identifies property owned by Rees Richards ) </w:t>
      </w:r>
    </w:p>
    <w:p w14:paraId="5367344A" w14:textId="3FCFA6E8" w:rsidR="00AF78E2" w:rsidRDefault="008855E6" w:rsidP="008855E6">
      <w:pPr>
        <w:spacing w:line="360" w:lineRule="auto"/>
        <w:rPr>
          <w:rFonts w:ascii="Arial" w:eastAsiaTheme="minorEastAsia" w:hAnsi="Arial" w:cs="Arial"/>
          <w:i/>
          <w:sz w:val="24"/>
          <w:szCs w:val="24"/>
          <w:lang w:eastAsia="en-GB"/>
        </w:rPr>
      </w:pPr>
      <w:r w:rsidRPr="008855E6">
        <w:rPr>
          <w:rFonts w:ascii="Arial" w:hAnsi="Arial" w:cs="Arial"/>
          <w:iCs/>
          <w:sz w:val="24"/>
          <w:szCs w:val="24"/>
        </w:rPr>
        <w:t xml:space="preserve">Para 4.8 </w:t>
      </w:r>
      <w:r w:rsidRPr="008855E6">
        <w:rPr>
          <w:rFonts w:ascii="Arial" w:eastAsiaTheme="minorEastAsia" w:hAnsi="Arial" w:cs="Arial"/>
          <w:i/>
          <w:sz w:val="24"/>
          <w:szCs w:val="24"/>
          <w:lang w:eastAsia="en-GB"/>
        </w:rPr>
        <w:t>…</w:t>
      </w:r>
      <w:r w:rsidRPr="008855E6">
        <w:rPr>
          <w:i/>
        </w:rPr>
        <w:t xml:space="preserve"> </w:t>
      </w:r>
      <w:r w:rsidRPr="008855E6">
        <w:rPr>
          <w:rFonts w:ascii="Arial" w:eastAsiaTheme="minorEastAsia" w:hAnsi="Arial" w:cs="Arial"/>
          <w:i/>
          <w:sz w:val="24"/>
          <w:szCs w:val="24"/>
          <w:lang w:eastAsia="en-GB"/>
        </w:rPr>
        <w:t xml:space="preserve">It is proposed that there will be three main vehicle access points to the site with </w:t>
      </w:r>
      <w:r w:rsidRPr="00061B37">
        <w:rPr>
          <w:rFonts w:ascii="Arial" w:eastAsiaTheme="minorEastAsia" w:hAnsi="Arial" w:cs="Arial"/>
          <w:i/>
          <w:sz w:val="24"/>
          <w:szCs w:val="24"/>
          <w:highlight w:val="yellow"/>
          <w:lang w:eastAsia="en-GB"/>
        </w:rPr>
        <w:t>one to the north</w:t>
      </w:r>
      <w:r w:rsidRPr="008855E6">
        <w:rPr>
          <w:rFonts w:ascii="Arial" w:eastAsiaTheme="minorEastAsia" w:hAnsi="Arial" w:cs="Arial"/>
          <w:i/>
          <w:sz w:val="24"/>
          <w:szCs w:val="24"/>
          <w:lang w:eastAsia="en-GB"/>
        </w:rPr>
        <w:t>, one to the east and one to the south …</w:t>
      </w:r>
    </w:p>
    <w:p w14:paraId="1C42D665" w14:textId="2F1D62F1" w:rsidR="008855E6" w:rsidRDefault="008855E6" w:rsidP="008855E6">
      <w:pPr>
        <w:spacing w:line="360" w:lineRule="auto"/>
        <w:rPr>
          <w:rFonts w:ascii="Arial" w:eastAsiaTheme="minorEastAsia" w:hAnsi="Arial" w:cs="Arial"/>
          <w:i/>
          <w:sz w:val="24"/>
          <w:szCs w:val="24"/>
          <w:lang w:eastAsia="en-GB"/>
        </w:rPr>
      </w:pPr>
      <w:r w:rsidRPr="008855E6">
        <w:rPr>
          <w:rFonts w:ascii="Arial" w:eastAsiaTheme="minorEastAsia" w:hAnsi="Arial" w:cs="Arial"/>
          <w:iCs/>
          <w:sz w:val="24"/>
          <w:szCs w:val="24"/>
          <w:lang w:eastAsia="en-GB"/>
        </w:rPr>
        <w:lastRenderedPageBreak/>
        <w:t>Para 5.31</w:t>
      </w:r>
      <w:r>
        <w:rPr>
          <w:rFonts w:ascii="Arial" w:eastAsiaTheme="minorEastAsia" w:hAnsi="Arial" w:cs="Arial"/>
          <w:i/>
          <w:sz w:val="24"/>
          <w:szCs w:val="24"/>
          <w:lang w:eastAsia="en-GB"/>
        </w:rPr>
        <w:t>…</w:t>
      </w:r>
      <w:r w:rsidRPr="008855E6">
        <w:rPr>
          <w:rFonts w:ascii="Arial" w:eastAsiaTheme="minorEastAsia" w:hAnsi="Arial" w:cs="Arial"/>
          <w:i/>
          <w:sz w:val="24"/>
          <w:szCs w:val="24"/>
          <w:lang w:eastAsia="en-GB"/>
        </w:rPr>
        <w:t xml:space="preserve"> The current roundabout A48 / Swansea Road will be converted to a signalised junction, and be linked to the new junction to be formed at the ‘gateway access’ to the site from </w:t>
      </w:r>
      <w:proofErr w:type="spellStart"/>
      <w:r w:rsidRPr="008855E6">
        <w:rPr>
          <w:rFonts w:ascii="Arial" w:eastAsiaTheme="minorEastAsia" w:hAnsi="Arial" w:cs="Arial"/>
          <w:i/>
          <w:sz w:val="24"/>
          <w:szCs w:val="24"/>
          <w:lang w:eastAsia="en-GB"/>
        </w:rPr>
        <w:t>Gorseinon</w:t>
      </w:r>
      <w:proofErr w:type="spellEnd"/>
      <w:r w:rsidRPr="008855E6">
        <w:rPr>
          <w:rFonts w:ascii="Arial" w:eastAsiaTheme="minorEastAsia" w:hAnsi="Arial" w:cs="Arial"/>
          <w:i/>
          <w:sz w:val="24"/>
          <w:szCs w:val="24"/>
          <w:lang w:eastAsia="en-GB"/>
        </w:rPr>
        <w:t xml:space="preserve"> Road.</w:t>
      </w:r>
    </w:p>
    <w:p w14:paraId="6708A92B" w14:textId="77777777" w:rsidR="00B835EB" w:rsidRDefault="00B835EB" w:rsidP="008855E6">
      <w:pPr>
        <w:spacing w:line="360" w:lineRule="auto"/>
        <w:rPr>
          <w:rFonts w:ascii="Arial" w:eastAsiaTheme="minorEastAsia" w:hAnsi="Arial" w:cs="Arial"/>
          <w:iCs/>
          <w:sz w:val="24"/>
          <w:szCs w:val="24"/>
          <w:lang w:eastAsia="en-GB"/>
        </w:rPr>
      </w:pPr>
    </w:p>
    <w:p w14:paraId="156980E9" w14:textId="66EE8246" w:rsidR="00840CA8" w:rsidRDefault="00840CA8" w:rsidP="008855E6">
      <w:pPr>
        <w:spacing w:line="360" w:lineRule="auto"/>
        <w:rPr>
          <w:rFonts w:ascii="Arial" w:eastAsiaTheme="minorEastAsia" w:hAnsi="Arial" w:cs="Arial"/>
          <w:iCs/>
          <w:sz w:val="24"/>
          <w:szCs w:val="24"/>
          <w:lang w:eastAsia="en-GB"/>
        </w:rPr>
      </w:pPr>
      <w:r>
        <w:rPr>
          <w:rFonts w:ascii="Arial" w:eastAsiaTheme="minorEastAsia" w:hAnsi="Arial" w:cs="Arial"/>
          <w:iCs/>
          <w:sz w:val="24"/>
          <w:szCs w:val="24"/>
          <w:lang w:eastAsia="en-GB"/>
        </w:rPr>
        <w:t>Why has all of this changed ?</w:t>
      </w:r>
    </w:p>
    <w:p w14:paraId="7A459C0C" w14:textId="647F5431" w:rsidR="00840CA8" w:rsidRDefault="00840CA8" w:rsidP="008855E6">
      <w:pPr>
        <w:spacing w:line="360" w:lineRule="auto"/>
        <w:rPr>
          <w:rFonts w:ascii="Arial" w:eastAsiaTheme="minorEastAsia" w:hAnsi="Arial" w:cs="Arial"/>
          <w:iCs/>
          <w:sz w:val="24"/>
          <w:szCs w:val="24"/>
          <w:lang w:eastAsia="en-GB"/>
        </w:rPr>
      </w:pPr>
      <w:r w:rsidRPr="00B835EB">
        <w:rPr>
          <w:rFonts w:ascii="Arial" w:eastAsiaTheme="minorEastAsia" w:hAnsi="Arial" w:cs="Arial"/>
          <w:b/>
          <w:bCs/>
          <w:iCs/>
          <w:sz w:val="24"/>
          <w:szCs w:val="24"/>
          <w:lang w:eastAsia="en-GB"/>
        </w:rPr>
        <w:t>VIABILITY</w:t>
      </w:r>
      <w:r>
        <w:rPr>
          <w:rFonts w:ascii="Arial" w:eastAsiaTheme="minorEastAsia" w:hAnsi="Arial" w:cs="Arial"/>
          <w:iCs/>
          <w:sz w:val="24"/>
          <w:szCs w:val="24"/>
          <w:lang w:eastAsia="en-GB"/>
        </w:rPr>
        <w:t xml:space="preserve"> – the change avoids Bellway buying 31 </w:t>
      </w:r>
      <w:proofErr w:type="spellStart"/>
      <w:r>
        <w:rPr>
          <w:rFonts w:ascii="Arial" w:eastAsiaTheme="minorEastAsia" w:hAnsi="Arial" w:cs="Arial"/>
          <w:iCs/>
          <w:sz w:val="24"/>
          <w:szCs w:val="24"/>
          <w:lang w:eastAsia="en-GB"/>
        </w:rPr>
        <w:t>Gorseinon</w:t>
      </w:r>
      <w:proofErr w:type="spellEnd"/>
      <w:r>
        <w:rPr>
          <w:rFonts w:ascii="Arial" w:eastAsiaTheme="minorEastAsia" w:hAnsi="Arial" w:cs="Arial"/>
          <w:iCs/>
          <w:sz w:val="24"/>
          <w:szCs w:val="24"/>
          <w:lang w:eastAsia="en-GB"/>
        </w:rPr>
        <w:t xml:space="preserve"> Road, avoids creating roundabout access on </w:t>
      </w:r>
      <w:proofErr w:type="spellStart"/>
      <w:r>
        <w:rPr>
          <w:rFonts w:ascii="Arial" w:eastAsiaTheme="minorEastAsia" w:hAnsi="Arial" w:cs="Arial"/>
          <w:iCs/>
          <w:sz w:val="24"/>
          <w:szCs w:val="24"/>
          <w:lang w:eastAsia="en-GB"/>
        </w:rPr>
        <w:t>Gorseinon</w:t>
      </w:r>
      <w:proofErr w:type="spellEnd"/>
      <w:r>
        <w:rPr>
          <w:rFonts w:ascii="Arial" w:eastAsiaTheme="minorEastAsia" w:hAnsi="Arial" w:cs="Arial"/>
          <w:iCs/>
          <w:sz w:val="24"/>
          <w:szCs w:val="24"/>
          <w:lang w:eastAsia="en-GB"/>
        </w:rPr>
        <w:t xml:space="preserve"> Road, avoids construction of greater part of northern section of  the relief road and </w:t>
      </w:r>
      <w:r w:rsidR="00B835EB">
        <w:rPr>
          <w:rFonts w:ascii="Arial" w:eastAsiaTheme="minorEastAsia" w:hAnsi="Arial" w:cs="Arial"/>
          <w:iCs/>
          <w:sz w:val="24"/>
          <w:szCs w:val="24"/>
          <w:lang w:eastAsia="en-GB"/>
        </w:rPr>
        <w:t xml:space="preserve">the ability for Bellway to </w:t>
      </w:r>
      <w:r>
        <w:rPr>
          <w:rFonts w:ascii="Arial" w:eastAsiaTheme="minorEastAsia" w:hAnsi="Arial" w:cs="Arial"/>
          <w:iCs/>
          <w:sz w:val="24"/>
          <w:szCs w:val="24"/>
          <w:lang w:eastAsia="en-GB"/>
        </w:rPr>
        <w:t>walk away after completion of the first 18</w:t>
      </w:r>
      <w:r w:rsidR="00DC1E94">
        <w:rPr>
          <w:rFonts w:ascii="Arial" w:eastAsiaTheme="minorEastAsia" w:hAnsi="Arial" w:cs="Arial"/>
          <w:iCs/>
          <w:sz w:val="24"/>
          <w:szCs w:val="24"/>
          <w:lang w:eastAsia="en-GB"/>
        </w:rPr>
        <w:t>4</w:t>
      </w:r>
      <w:r>
        <w:rPr>
          <w:rFonts w:ascii="Arial" w:eastAsiaTheme="minorEastAsia" w:hAnsi="Arial" w:cs="Arial"/>
          <w:iCs/>
          <w:sz w:val="24"/>
          <w:szCs w:val="24"/>
          <w:lang w:eastAsia="en-GB"/>
        </w:rPr>
        <w:t xml:space="preserve"> houses with little financial contribution being made </w:t>
      </w:r>
      <w:r w:rsidR="00B9604F">
        <w:rPr>
          <w:rFonts w:ascii="Arial" w:eastAsiaTheme="minorEastAsia" w:hAnsi="Arial" w:cs="Arial"/>
          <w:iCs/>
          <w:sz w:val="24"/>
          <w:szCs w:val="24"/>
          <w:lang w:eastAsia="en-GB"/>
        </w:rPr>
        <w:t xml:space="preserve">in respect of </w:t>
      </w:r>
      <w:r w:rsidR="00B835EB">
        <w:rPr>
          <w:rFonts w:ascii="Arial" w:eastAsiaTheme="minorEastAsia" w:hAnsi="Arial" w:cs="Arial"/>
          <w:iCs/>
          <w:sz w:val="24"/>
          <w:szCs w:val="24"/>
          <w:lang w:eastAsia="en-GB"/>
        </w:rPr>
        <w:t xml:space="preserve">the immediately needed </w:t>
      </w:r>
      <w:r w:rsidR="00B9604F">
        <w:rPr>
          <w:rFonts w:ascii="Arial" w:eastAsiaTheme="minorEastAsia" w:hAnsi="Arial" w:cs="Arial"/>
          <w:iCs/>
          <w:sz w:val="24"/>
          <w:szCs w:val="24"/>
          <w:lang w:eastAsia="en-GB"/>
        </w:rPr>
        <w:t xml:space="preserve">physical and social infrastructure requirements </w:t>
      </w:r>
      <w:r>
        <w:rPr>
          <w:rFonts w:ascii="Arial" w:eastAsiaTheme="minorEastAsia" w:hAnsi="Arial" w:cs="Arial"/>
          <w:iCs/>
          <w:sz w:val="24"/>
          <w:szCs w:val="24"/>
          <w:lang w:eastAsia="en-GB"/>
        </w:rPr>
        <w:t>.</w:t>
      </w:r>
    </w:p>
    <w:p w14:paraId="39C7607B" w14:textId="77777777" w:rsidR="00840CA8" w:rsidRPr="00840CA8" w:rsidRDefault="00840CA8" w:rsidP="008855E6">
      <w:pPr>
        <w:spacing w:line="360" w:lineRule="auto"/>
        <w:rPr>
          <w:rFonts w:ascii="Arial" w:eastAsiaTheme="minorEastAsia" w:hAnsi="Arial" w:cs="Arial"/>
          <w:iCs/>
          <w:sz w:val="24"/>
          <w:szCs w:val="24"/>
          <w:lang w:eastAsia="en-GB"/>
        </w:rPr>
      </w:pPr>
    </w:p>
    <w:p w14:paraId="42718460" w14:textId="77777777" w:rsidR="008855E6" w:rsidRPr="008855E6" w:rsidRDefault="008855E6" w:rsidP="008855E6">
      <w:pPr>
        <w:spacing w:line="360" w:lineRule="auto"/>
        <w:rPr>
          <w:rFonts w:ascii="Arial" w:hAnsi="Arial" w:cs="Arial"/>
          <w:iCs/>
          <w:sz w:val="24"/>
          <w:szCs w:val="24"/>
        </w:rPr>
      </w:pPr>
    </w:p>
    <w:sectPr w:rsidR="008855E6" w:rsidRPr="00885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E2"/>
    <w:rsid w:val="00061B37"/>
    <w:rsid w:val="00094E16"/>
    <w:rsid w:val="00175F77"/>
    <w:rsid w:val="003A3826"/>
    <w:rsid w:val="00840CA8"/>
    <w:rsid w:val="008855E6"/>
    <w:rsid w:val="008E4E57"/>
    <w:rsid w:val="00965416"/>
    <w:rsid w:val="009B3C49"/>
    <w:rsid w:val="00AF78E2"/>
    <w:rsid w:val="00B835EB"/>
    <w:rsid w:val="00B9604F"/>
    <w:rsid w:val="00D90DA9"/>
    <w:rsid w:val="00DC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89584"/>
  <w15:chartTrackingRefBased/>
  <w15:docId w15:val="{96C13F5F-3F84-458E-B07E-699F114B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E75E0-C184-4F7E-98DD-CC164DD7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Harris</dc:creator>
  <cp:keywords/>
  <dc:description/>
  <cp:lastModifiedBy>Dave Harris</cp:lastModifiedBy>
  <cp:revision>7</cp:revision>
  <dcterms:created xsi:type="dcterms:W3CDTF">2020-07-13T09:37:00Z</dcterms:created>
  <dcterms:modified xsi:type="dcterms:W3CDTF">2020-07-15T10:19:00Z</dcterms:modified>
</cp:coreProperties>
</file>